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E4" w:rsidRDefault="00C51EE4" w:rsidP="00C51EE4">
      <w:pPr>
        <w:spacing w:line="480" w:lineRule="auto"/>
        <w:rPr>
          <w:rFonts w:ascii="Times New Roman" w:hAnsi="Times New Roman" w:cs="Times New Roman"/>
          <w:sz w:val="24"/>
          <w:szCs w:val="24"/>
        </w:rPr>
      </w:pPr>
    </w:p>
    <w:p w:rsidR="00C51EE4" w:rsidRPr="00C51EE4" w:rsidRDefault="00C51EE4" w:rsidP="00C51EE4">
      <w:pPr>
        <w:spacing w:line="480" w:lineRule="auto"/>
        <w:jc w:val="center"/>
        <w:rPr>
          <w:rFonts w:ascii="Times New Roman" w:hAnsi="Times New Roman" w:cs="Times New Roman"/>
          <w:b/>
          <w:sz w:val="24"/>
          <w:szCs w:val="24"/>
        </w:rPr>
      </w:pPr>
      <w:r w:rsidRPr="00C51EE4">
        <w:rPr>
          <w:rFonts w:ascii="Times New Roman" w:hAnsi="Times New Roman" w:cs="Times New Roman"/>
          <w:b/>
          <w:sz w:val="24"/>
          <w:szCs w:val="24"/>
        </w:rPr>
        <w:t>The freedom of information act</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NAME</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A00775" w:rsidRPr="006E63A9" w:rsidRDefault="00511DB7" w:rsidP="00C51EE4">
      <w:pPr>
        <w:spacing w:line="480" w:lineRule="auto"/>
        <w:ind w:firstLine="720"/>
        <w:rPr>
          <w:rFonts w:ascii="Times New Roman" w:hAnsi="Times New Roman" w:cs="Times New Roman"/>
          <w:sz w:val="24"/>
          <w:szCs w:val="24"/>
        </w:rPr>
      </w:pPr>
      <w:r w:rsidRPr="006E63A9">
        <w:rPr>
          <w:rFonts w:ascii="Times New Roman" w:hAnsi="Times New Roman" w:cs="Times New Roman"/>
          <w:sz w:val="24"/>
          <w:szCs w:val="24"/>
        </w:rPr>
        <w:lastRenderedPageBreak/>
        <w:t xml:space="preserve">The freedom of information act (FOIA) was created based on the three sections of the legislative system of the </w:t>
      </w:r>
      <w:r w:rsidR="009D3BC7" w:rsidRPr="006E63A9">
        <w:rPr>
          <w:rFonts w:ascii="Times New Roman" w:hAnsi="Times New Roman" w:cs="Times New Roman"/>
          <w:sz w:val="24"/>
          <w:szCs w:val="24"/>
        </w:rPr>
        <w:t>attorney. The FOIA</w:t>
      </w:r>
      <w:r w:rsidRPr="006E63A9">
        <w:rPr>
          <w:rFonts w:ascii="Times New Roman" w:hAnsi="Times New Roman" w:cs="Times New Roman"/>
          <w:sz w:val="24"/>
          <w:szCs w:val="24"/>
        </w:rPr>
        <w:t xml:space="preserve"> </w:t>
      </w:r>
      <w:r w:rsidR="009D3BC7" w:rsidRPr="006E63A9">
        <w:rPr>
          <w:rFonts w:ascii="Times New Roman" w:hAnsi="Times New Roman" w:cs="Times New Roman"/>
          <w:sz w:val="24"/>
          <w:szCs w:val="24"/>
        </w:rPr>
        <w:t>directs federal</w:t>
      </w:r>
      <w:r w:rsidRPr="006E63A9">
        <w:rPr>
          <w:rFonts w:ascii="Times New Roman" w:hAnsi="Times New Roman" w:cs="Times New Roman"/>
          <w:sz w:val="24"/>
          <w:szCs w:val="24"/>
        </w:rPr>
        <w:t xml:space="preserve"> agencies to avail the information which concerns the government to the public, thus making the access of information about any government being accessible by </w:t>
      </w:r>
      <w:r w:rsidR="00DC5F62">
        <w:rPr>
          <w:rFonts w:ascii="Times New Roman" w:hAnsi="Times New Roman" w:cs="Times New Roman"/>
          <w:sz w:val="24"/>
          <w:szCs w:val="24"/>
        </w:rPr>
        <w:t>its citizens (</w:t>
      </w:r>
      <w:r w:rsidR="00DC5F62">
        <w:rPr>
          <w:rFonts w:ascii="Times New Roman" w:hAnsi="Times New Roman" w:cs="Times New Roman"/>
          <w:color w:val="222222"/>
          <w:sz w:val="24"/>
          <w:szCs w:val="24"/>
          <w:shd w:val="clear" w:color="auto" w:fill="FFFFFF"/>
        </w:rPr>
        <w:t xml:space="preserve">Cartwright, and </w:t>
      </w:r>
      <w:r w:rsidR="00DC5F62" w:rsidRPr="00DC5F62">
        <w:rPr>
          <w:rFonts w:ascii="Times New Roman" w:hAnsi="Times New Roman" w:cs="Times New Roman"/>
          <w:color w:val="222222"/>
          <w:sz w:val="24"/>
          <w:szCs w:val="24"/>
          <w:shd w:val="clear" w:color="auto" w:fill="FFFFFF"/>
        </w:rPr>
        <w:t>Roach</w:t>
      </w:r>
      <w:r w:rsidR="00DC5F62">
        <w:rPr>
          <w:rFonts w:ascii="Times New Roman" w:hAnsi="Times New Roman" w:cs="Times New Roman"/>
          <w:color w:val="222222"/>
          <w:sz w:val="24"/>
          <w:szCs w:val="24"/>
          <w:shd w:val="clear" w:color="auto" w:fill="FFFFFF"/>
        </w:rPr>
        <w:t xml:space="preserve">, </w:t>
      </w:r>
      <w:r w:rsidR="00DC5F62" w:rsidRPr="00DC5F62">
        <w:rPr>
          <w:rFonts w:ascii="Times New Roman" w:hAnsi="Times New Roman" w:cs="Times New Roman"/>
          <w:color w:val="222222"/>
          <w:sz w:val="24"/>
          <w:szCs w:val="24"/>
          <w:shd w:val="clear" w:color="auto" w:fill="FFFFFF"/>
        </w:rPr>
        <w:t>2020)</w:t>
      </w:r>
      <w:r w:rsidR="00DC5F62">
        <w:rPr>
          <w:rFonts w:ascii="Times New Roman" w:hAnsi="Times New Roman" w:cs="Times New Roman"/>
          <w:color w:val="222222"/>
          <w:sz w:val="24"/>
          <w:szCs w:val="24"/>
          <w:shd w:val="clear" w:color="auto" w:fill="FFFFFF"/>
        </w:rPr>
        <w:t>.</w:t>
      </w:r>
      <w:r w:rsidR="00DC5F62" w:rsidRPr="006E63A9">
        <w:rPr>
          <w:rFonts w:ascii="Times New Roman" w:hAnsi="Times New Roman" w:cs="Times New Roman"/>
          <w:sz w:val="24"/>
          <w:szCs w:val="24"/>
        </w:rPr>
        <w:t xml:space="preserve"> It</w:t>
      </w:r>
      <w:r w:rsidR="009D3BC7" w:rsidRPr="006E63A9">
        <w:rPr>
          <w:rFonts w:ascii="Times New Roman" w:hAnsi="Times New Roman" w:cs="Times New Roman"/>
          <w:sz w:val="24"/>
          <w:szCs w:val="24"/>
        </w:rPr>
        <w:t xml:space="preserve"> instructs the federal agencies to ensure procedural and substantive rules are published, together with the government materials, which are vital in the national register.</w:t>
      </w:r>
    </w:p>
    <w:p w:rsidR="009D3BC7" w:rsidRPr="006E63A9" w:rsidRDefault="00511DB7" w:rsidP="00C51EE4">
      <w:pPr>
        <w:spacing w:line="480" w:lineRule="auto"/>
        <w:ind w:firstLine="720"/>
        <w:rPr>
          <w:rFonts w:ascii="Times New Roman" w:hAnsi="Times New Roman" w:cs="Times New Roman"/>
          <w:sz w:val="24"/>
          <w:szCs w:val="24"/>
        </w:rPr>
      </w:pPr>
      <w:r w:rsidRPr="006E63A9">
        <w:rPr>
          <w:rFonts w:ascii="Times New Roman" w:hAnsi="Times New Roman" w:cs="Times New Roman"/>
          <w:sz w:val="24"/>
          <w:szCs w:val="24"/>
        </w:rPr>
        <w:t>The agencies must disclose the information electrically as separate data or information, which consists of the records that were frequently requested</w:t>
      </w:r>
      <w:r w:rsidR="00CB3A21" w:rsidRPr="006E63A9">
        <w:rPr>
          <w:rFonts w:ascii="Times New Roman" w:hAnsi="Times New Roman" w:cs="Times New Roman"/>
          <w:sz w:val="24"/>
          <w:szCs w:val="24"/>
        </w:rPr>
        <w:t>, adjudicative opinions that were final a</w:t>
      </w:r>
      <w:r w:rsidR="00665E07" w:rsidRPr="006E63A9">
        <w:rPr>
          <w:rFonts w:ascii="Times New Roman" w:hAnsi="Times New Roman" w:cs="Times New Roman"/>
          <w:sz w:val="24"/>
          <w:szCs w:val="24"/>
        </w:rPr>
        <w:t xml:space="preserve">nd other things according </w:t>
      </w:r>
      <w:r w:rsidR="00DC5F62" w:rsidRPr="006E63A9">
        <w:rPr>
          <w:rFonts w:ascii="Times New Roman" w:hAnsi="Times New Roman" w:cs="Times New Roman"/>
          <w:sz w:val="24"/>
          <w:szCs w:val="24"/>
        </w:rPr>
        <w:t>to FIOA</w:t>
      </w:r>
      <w:r w:rsidR="00665E07" w:rsidRPr="006E63A9">
        <w:rPr>
          <w:rFonts w:ascii="Times New Roman" w:hAnsi="Times New Roman" w:cs="Times New Roman"/>
          <w:sz w:val="24"/>
          <w:szCs w:val="24"/>
        </w:rPr>
        <w:t xml:space="preserve"> </w:t>
      </w:r>
      <w:r w:rsidR="00CB3A21" w:rsidRPr="006E63A9">
        <w:rPr>
          <w:rFonts w:ascii="Times New Roman" w:hAnsi="Times New Roman" w:cs="Times New Roman"/>
          <w:sz w:val="24"/>
          <w:szCs w:val="24"/>
        </w:rPr>
        <w:t>that are relevant. Additionally, the FIOA can make the accessibility of the covered records, which were</w:t>
      </w:r>
      <w:r w:rsidR="00665E07" w:rsidRPr="006E63A9">
        <w:rPr>
          <w:rFonts w:ascii="Times New Roman" w:hAnsi="Times New Roman" w:cs="Times New Roman"/>
          <w:sz w:val="24"/>
          <w:szCs w:val="24"/>
        </w:rPr>
        <w:t xml:space="preserve"> not made</w:t>
      </w:r>
      <w:r w:rsidR="00CB3A21" w:rsidRPr="006E63A9">
        <w:rPr>
          <w:rFonts w:ascii="Times New Roman" w:hAnsi="Times New Roman" w:cs="Times New Roman"/>
          <w:sz w:val="24"/>
          <w:szCs w:val="24"/>
        </w:rPr>
        <w:t xml:space="preserve"> available to t the under be easy; it also ensures that there is the disclosure of specific provisions in terms of the corporation and the individual. </w:t>
      </w:r>
    </w:p>
    <w:p w:rsidR="00683755" w:rsidRPr="006E63A9" w:rsidRDefault="00511DB7" w:rsidP="00C51EE4">
      <w:pPr>
        <w:spacing w:after="165" w:line="480" w:lineRule="auto"/>
        <w:ind w:firstLine="720"/>
        <w:rPr>
          <w:rFonts w:ascii="Times New Roman" w:eastAsia="Times New Roman" w:hAnsi="Times New Roman" w:cs="Times New Roman"/>
          <w:color w:val="000000"/>
          <w:sz w:val="24"/>
          <w:szCs w:val="24"/>
        </w:rPr>
      </w:pPr>
      <w:r w:rsidRPr="006E63A9">
        <w:rPr>
          <w:rFonts w:ascii="Times New Roman" w:hAnsi="Times New Roman" w:cs="Times New Roman"/>
          <w:sz w:val="24"/>
          <w:szCs w:val="24"/>
        </w:rPr>
        <w:t>Although the primary mandate of FIOA is to make the public have an easy way of acquiring information, it also ensures that there is the protection of the government and private sectors in</w:t>
      </w:r>
      <w:r w:rsidRPr="006E63A9">
        <w:rPr>
          <w:rFonts w:ascii="Times New Roman" w:hAnsi="Times New Roman" w:cs="Times New Roman"/>
          <w:sz w:val="24"/>
          <w:szCs w:val="24"/>
        </w:rPr>
        <w:t xml:space="preserve">terest from the obligation of the law </w:t>
      </w:r>
      <w:r w:rsidR="00DC5F62">
        <w:rPr>
          <w:rFonts w:ascii="Times New Roman" w:hAnsi="Times New Roman" w:cs="Times New Roman"/>
          <w:sz w:val="24"/>
          <w:szCs w:val="24"/>
        </w:rPr>
        <w:t>disclosure (</w:t>
      </w:r>
      <w:r w:rsidR="00DC5F62">
        <w:rPr>
          <w:rFonts w:ascii="Times New Roman" w:hAnsi="Times New Roman" w:cs="Times New Roman"/>
          <w:color w:val="222222"/>
          <w:sz w:val="24"/>
          <w:szCs w:val="24"/>
          <w:shd w:val="clear" w:color="auto" w:fill="FFFFFF"/>
        </w:rPr>
        <w:t>Cartwright, and Roach,</w:t>
      </w:r>
      <w:r w:rsidR="00DC5F62" w:rsidRPr="00DC5F62">
        <w:rPr>
          <w:rFonts w:ascii="Times New Roman" w:hAnsi="Times New Roman" w:cs="Times New Roman"/>
          <w:color w:val="222222"/>
          <w:sz w:val="24"/>
          <w:szCs w:val="24"/>
          <w:shd w:val="clear" w:color="auto" w:fill="FFFFFF"/>
        </w:rPr>
        <w:t>2020)</w:t>
      </w:r>
      <w:r w:rsidR="0042382A" w:rsidRPr="006E63A9">
        <w:rPr>
          <w:rFonts w:ascii="Times New Roman" w:hAnsi="Times New Roman" w:cs="Times New Roman"/>
          <w:sz w:val="24"/>
          <w:szCs w:val="24"/>
        </w:rPr>
        <w:t xml:space="preserve">If the agency records are exempted, </w:t>
      </w:r>
      <w:r w:rsidR="0042382A" w:rsidRPr="006E63A9">
        <w:rPr>
          <w:rFonts w:ascii="Times New Roman" w:eastAsia="Times New Roman" w:hAnsi="Times New Roman" w:cs="Times New Roman"/>
          <w:color w:val="000000"/>
          <w:sz w:val="24"/>
          <w:szCs w:val="24"/>
        </w:rPr>
        <w:t xml:space="preserve">FOIA permits the agencies to handle certain enforcement records of law as if they are not within the </w:t>
      </w:r>
      <w:r w:rsidR="00BD6C5E" w:rsidRPr="006E63A9">
        <w:rPr>
          <w:rFonts w:ascii="Times New Roman" w:eastAsia="Times New Roman" w:hAnsi="Times New Roman" w:cs="Times New Roman"/>
          <w:color w:val="000000"/>
          <w:sz w:val="24"/>
          <w:szCs w:val="24"/>
        </w:rPr>
        <w:t xml:space="preserve">FIOA </w:t>
      </w:r>
      <w:r w:rsidR="0042382A" w:rsidRPr="006E63A9">
        <w:rPr>
          <w:rFonts w:ascii="Times New Roman" w:eastAsia="Times New Roman" w:hAnsi="Times New Roman" w:cs="Times New Roman"/>
          <w:color w:val="000000"/>
          <w:sz w:val="24"/>
          <w:szCs w:val="24"/>
        </w:rPr>
        <w:t>.additionall</w:t>
      </w:r>
      <w:r w:rsidR="00BD6C5E" w:rsidRPr="006E63A9">
        <w:rPr>
          <w:rFonts w:ascii="Times New Roman" w:eastAsia="Times New Roman" w:hAnsi="Times New Roman" w:cs="Times New Roman"/>
          <w:color w:val="000000"/>
          <w:sz w:val="24"/>
          <w:szCs w:val="24"/>
        </w:rPr>
        <w:t>y; it gives the authority to the requester to obtain the judicial reviews on the decision for the record to withhold.</w:t>
      </w:r>
      <w:r w:rsidR="0042382A" w:rsidRPr="006E63A9">
        <w:rPr>
          <w:rFonts w:ascii="Times New Roman" w:eastAsia="Times New Roman" w:hAnsi="Times New Roman" w:cs="Times New Roman"/>
          <w:color w:val="000000"/>
          <w:sz w:val="24"/>
          <w:szCs w:val="24"/>
        </w:rPr>
        <w:t xml:space="preserve"> </w:t>
      </w:r>
      <w:r w:rsidR="00BD6C5E" w:rsidRPr="006E63A9">
        <w:rPr>
          <w:rFonts w:ascii="Times New Roman" w:eastAsia="Times New Roman" w:hAnsi="Times New Roman" w:cs="Times New Roman"/>
          <w:color w:val="000000"/>
          <w:sz w:val="24"/>
          <w:szCs w:val="24"/>
        </w:rPr>
        <w:t xml:space="preserve"> The information is considered as </w:t>
      </w:r>
      <w:r w:rsidRPr="006E63A9">
        <w:rPr>
          <w:rFonts w:ascii="Times New Roman" w:eastAsia="Times New Roman" w:hAnsi="Times New Roman" w:cs="Times New Roman"/>
          <w:color w:val="000000"/>
          <w:sz w:val="24"/>
          <w:szCs w:val="24"/>
        </w:rPr>
        <w:t>that of</w:t>
      </w:r>
      <w:r w:rsidR="00BD6C5E" w:rsidRPr="006E63A9">
        <w:rPr>
          <w:rFonts w:ascii="Times New Roman" w:eastAsia="Times New Roman" w:hAnsi="Times New Roman" w:cs="Times New Roman"/>
          <w:color w:val="000000"/>
          <w:sz w:val="24"/>
          <w:szCs w:val="24"/>
        </w:rPr>
        <w:t xml:space="preserve"> the FOIA in case the agency record is exempted.</w:t>
      </w:r>
      <w:r w:rsidRPr="006E63A9">
        <w:rPr>
          <w:rFonts w:ascii="Times New Roman" w:eastAsia="Times New Roman" w:hAnsi="Times New Roman" w:cs="Times New Roman"/>
          <w:color w:val="000000"/>
          <w:sz w:val="24"/>
          <w:szCs w:val="24"/>
        </w:rPr>
        <w:t xml:space="preserve"> </w:t>
      </w:r>
    </w:p>
    <w:p w:rsidR="00683755" w:rsidRDefault="00511DB7" w:rsidP="00C51EE4">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 </w:t>
      </w:r>
      <w:r w:rsidR="00C51EE4" w:rsidRPr="006E63A9">
        <w:rPr>
          <w:rFonts w:ascii="Times New Roman" w:eastAsia="Times New Roman" w:hAnsi="Times New Roman" w:cs="Times New Roman"/>
          <w:color w:val="000000"/>
          <w:sz w:val="24"/>
          <w:szCs w:val="24"/>
        </w:rPr>
        <w:t>Bureaucratization</w:t>
      </w:r>
      <w:r w:rsidRPr="006E63A9">
        <w:rPr>
          <w:rFonts w:ascii="Times New Roman" w:eastAsia="Times New Roman" w:hAnsi="Times New Roman" w:cs="Times New Roman"/>
          <w:color w:val="000000"/>
          <w:sz w:val="24"/>
          <w:szCs w:val="24"/>
        </w:rPr>
        <w:t xml:space="preserve"> of government has resulted from the passage of legislation</w:t>
      </w:r>
      <w:r w:rsidR="002044A7" w:rsidRPr="006E63A9">
        <w:rPr>
          <w:rFonts w:ascii="Times New Roman" w:eastAsia="Times New Roman" w:hAnsi="Times New Roman" w:cs="Times New Roman"/>
          <w:color w:val="000000"/>
          <w:sz w:val="24"/>
          <w:szCs w:val="24"/>
        </w:rPr>
        <w:t xml:space="preserve"> because there</w:t>
      </w:r>
      <w:r w:rsidRPr="006E63A9">
        <w:rPr>
          <w:rFonts w:ascii="Times New Roman" w:eastAsia="Times New Roman" w:hAnsi="Times New Roman" w:cs="Times New Roman"/>
          <w:color w:val="000000"/>
          <w:sz w:val="24"/>
          <w:szCs w:val="24"/>
        </w:rPr>
        <w:t xml:space="preserve"> is high </w:t>
      </w:r>
      <w:r w:rsidR="002044A7" w:rsidRPr="006E63A9">
        <w:rPr>
          <w:rFonts w:ascii="Times New Roman" w:eastAsia="Times New Roman" w:hAnsi="Times New Roman" w:cs="Times New Roman"/>
          <w:color w:val="000000"/>
          <w:sz w:val="24"/>
          <w:szCs w:val="24"/>
        </w:rPr>
        <w:t xml:space="preserve">growth in </w:t>
      </w:r>
      <w:r w:rsidRPr="006E63A9">
        <w:rPr>
          <w:rFonts w:ascii="Times New Roman" w:eastAsia="Times New Roman" w:hAnsi="Times New Roman" w:cs="Times New Roman"/>
          <w:color w:val="000000"/>
          <w:sz w:val="24"/>
          <w:szCs w:val="24"/>
        </w:rPr>
        <w:t>i</w:t>
      </w:r>
      <w:r w:rsidR="002044A7" w:rsidRPr="006E63A9">
        <w:rPr>
          <w:rFonts w:ascii="Times New Roman" w:eastAsia="Times New Roman" w:hAnsi="Times New Roman" w:cs="Times New Roman"/>
          <w:color w:val="000000"/>
          <w:sz w:val="24"/>
          <w:szCs w:val="24"/>
        </w:rPr>
        <w:t>ndustrialization. In the 19</w:t>
      </w:r>
      <w:r w:rsidR="002044A7" w:rsidRPr="006E63A9">
        <w:rPr>
          <w:rFonts w:ascii="Times New Roman" w:eastAsia="Times New Roman" w:hAnsi="Times New Roman" w:cs="Times New Roman"/>
          <w:color w:val="000000"/>
          <w:sz w:val="24"/>
          <w:szCs w:val="24"/>
          <w:vertAlign w:val="superscript"/>
        </w:rPr>
        <w:t>th</w:t>
      </w:r>
      <w:r w:rsidR="002044A7" w:rsidRPr="006E63A9">
        <w:rPr>
          <w:rFonts w:ascii="Times New Roman" w:eastAsia="Times New Roman" w:hAnsi="Times New Roman" w:cs="Times New Roman"/>
          <w:color w:val="000000"/>
          <w:sz w:val="24"/>
          <w:szCs w:val="24"/>
        </w:rPr>
        <w:t xml:space="preserve"> century, the revolution took place in the industrial sector, which took place due to the rational ideas that transformed society into a bureaucratic entity. As the </w:t>
      </w:r>
      <w:r w:rsidR="00A57AFA" w:rsidRPr="006E63A9">
        <w:rPr>
          <w:rFonts w:ascii="Times New Roman" w:eastAsia="Times New Roman" w:hAnsi="Times New Roman" w:cs="Times New Roman"/>
          <w:color w:val="000000"/>
          <w:sz w:val="24"/>
          <w:szCs w:val="24"/>
        </w:rPr>
        <w:t>community becomes</w:t>
      </w:r>
      <w:r w:rsidR="002044A7" w:rsidRPr="006E63A9">
        <w:rPr>
          <w:rFonts w:ascii="Times New Roman" w:eastAsia="Times New Roman" w:hAnsi="Times New Roman" w:cs="Times New Roman"/>
          <w:color w:val="000000"/>
          <w:sz w:val="24"/>
          <w:szCs w:val="24"/>
        </w:rPr>
        <w:t xml:space="preserve"> </w:t>
      </w:r>
      <w:r w:rsidR="00A57AFA" w:rsidRPr="006E63A9">
        <w:rPr>
          <w:rFonts w:ascii="Times New Roman" w:eastAsia="Times New Roman" w:hAnsi="Times New Roman" w:cs="Times New Roman"/>
          <w:color w:val="000000"/>
          <w:sz w:val="24"/>
          <w:szCs w:val="24"/>
        </w:rPr>
        <w:t>densely populated</w:t>
      </w:r>
      <w:r w:rsidR="002044A7" w:rsidRPr="006E63A9">
        <w:rPr>
          <w:rFonts w:ascii="Times New Roman" w:eastAsia="Times New Roman" w:hAnsi="Times New Roman" w:cs="Times New Roman"/>
          <w:color w:val="000000"/>
          <w:sz w:val="24"/>
          <w:szCs w:val="24"/>
        </w:rPr>
        <w:t xml:space="preserve"> with the people, </w:t>
      </w:r>
      <w:r w:rsidR="00A57AFA" w:rsidRPr="006E63A9">
        <w:rPr>
          <w:rFonts w:ascii="Times New Roman" w:eastAsia="Times New Roman" w:hAnsi="Times New Roman" w:cs="Times New Roman"/>
          <w:color w:val="000000"/>
          <w:sz w:val="24"/>
          <w:szCs w:val="24"/>
        </w:rPr>
        <w:t>some</w:t>
      </w:r>
      <w:r w:rsidR="002044A7" w:rsidRPr="006E63A9">
        <w:rPr>
          <w:rFonts w:ascii="Times New Roman" w:eastAsia="Times New Roman" w:hAnsi="Times New Roman" w:cs="Times New Roman"/>
          <w:color w:val="000000"/>
          <w:sz w:val="24"/>
          <w:szCs w:val="24"/>
        </w:rPr>
        <w:t xml:space="preserve"> regulations were put into place to restrict the movement of people to the cities.</w:t>
      </w: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C51EE4" w:rsidRDefault="00C51EE4" w:rsidP="00DC5F62">
      <w:pPr>
        <w:spacing w:after="165"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w:t>
      </w:r>
    </w:p>
    <w:p w:rsidR="00C51EE4" w:rsidRPr="00DC5F62" w:rsidRDefault="00C51EE4" w:rsidP="00DC5F62">
      <w:pPr>
        <w:spacing w:after="165" w:line="480" w:lineRule="auto"/>
        <w:ind w:firstLine="720"/>
        <w:jc w:val="both"/>
        <w:rPr>
          <w:rFonts w:ascii="Times New Roman" w:eastAsia="Times New Roman" w:hAnsi="Times New Roman" w:cs="Times New Roman"/>
          <w:color w:val="000000"/>
          <w:sz w:val="24"/>
          <w:szCs w:val="24"/>
        </w:rPr>
      </w:pPr>
      <w:r w:rsidRPr="00DC5F62">
        <w:rPr>
          <w:rFonts w:ascii="Times New Roman" w:hAnsi="Times New Roman" w:cs="Times New Roman"/>
          <w:color w:val="222222"/>
          <w:sz w:val="24"/>
          <w:szCs w:val="24"/>
          <w:shd w:val="clear" w:color="auto" w:fill="FFFFFF"/>
        </w:rPr>
        <w:t>Cartwright, A., &amp; Roach, J. (2020). The wellbeing of UK police: a study of recorded absences from work of UK police employees due to psychological illness and stress using Freedom of Information Act data. </w:t>
      </w:r>
      <w:r w:rsidRPr="00DC5F62">
        <w:rPr>
          <w:rFonts w:ascii="Times New Roman" w:hAnsi="Times New Roman" w:cs="Times New Roman"/>
          <w:i/>
          <w:iCs/>
          <w:color w:val="222222"/>
          <w:sz w:val="24"/>
          <w:szCs w:val="24"/>
          <w:shd w:val="clear" w:color="auto" w:fill="FFFFFF"/>
        </w:rPr>
        <w:t>Policing: A Journal of Policy and Practice</w:t>
      </w:r>
      <w:r w:rsidRPr="00DC5F62">
        <w:rPr>
          <w:rFonts w:ascii="Times New Roman" w:hAnsi="Times New Roman" w:cs="Times New Roman"/>
          <w:color w:val="222222"/>
          <w:sz w:val="24"/>
          <w:szCs w:val="24"/>
          <w:shd w:val="clear" w:color="auto" w:fill="FFFFFF"/>
        </w:rPr>
        <w:t>.</w:t>
      </w:r>
    </w:p>
    <w:p w:rsidR="00C51EE4" w:rsidRPr="00DC5F62" w:rsidRDefault="00C51EE4" w:rsidP="00DC5F62">
      <w:pPr>
        <w:spacing w:after="165" w:line="480" w:lineRule="auto"/>
        <w:ind w:firstLine="720"/>
        <w:jc w:val="both"/>
        <w:rPr>
          <w:rFonts w:ascii="Times New Roman" w:eastAsia="Times New Roman" w:hAnsi="Times New Roman" w:cs="Times New Roman"/>
          <w:color w:val="000000"/>
          <w:sz w:val="24"/>
          <w:szCs w:val="24"/>
        </w:rPr>
      </w:pPr>
    </w:p>
    <w:p w:rsidR="00C51EE4" w:rsidRDefault="00C51EE4" w:rsidP="00DC5F62">
      <w:pPr>
        <w:spacing w:after="165" w:line="480" w:lineRule="auto"/>
        <w:ind w:firstLine="720"/>
        <w:jc w:val="both"/>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9D3BC7" w:rsidRPr="006E63A9" w:rsidRDefault="009D3BC7" w:rsidP="006E63A9">
      <w:pPr>
        <w:spacing w:line="480" w:lineRule="auto"/>
        <w:rPr>
          <w:rFonts w:ascii="Times New Roman" w:hAnsi="Times New Roman" w:cs="Times New Roman"/>
          <w:sz w:val="24"/>
          <w:szCs w:val="24"/>
        </w:rPr>
      </w:pPr>
    </w:p>
    <w:sectPr w:rsidR="009D3BC7" w:rsidRPr="006E63A9" w:rsidSect="00A00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DB7" w:rsidRDefault="00511DB7" w:rsidP="009D7D1F">
      <w:pPr>
        <w:spacing w:after="0" w:line="240" w:lineRule="auto"/>
      </w:pPr>
      <w:r>
        <w:separator/>
      </w:r>
    </w:p>
  </w:endnote>
  <w:endnote w:type="continuationSeparator" w:id="1">
    <w:p w:rsidR="00511DB7" w:rsidRDefault="00511DB7" w:rsidP="009D7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DB7" w:rsidRDefault="00511DB7" w:rsidP="009D7D1F">
      <w:pPr>
        <w:spacing w:after="0" w:line="240" w:lineRule="auto"/>
      </w:pPr>
      <w:r>
        <w:separator/>
      </w:r>
    </w:p>
  </w:footnote>
  <w:footnote w:type="continuationSeparator" w:id="1">
    <w:p w:rsidR="00511DB7" w:rsidRDefault="00511DB7" w:rsidP="009D7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83"/>
      <w:docPartObj>
        <w:docPartGallery w:val="Page Numbers (Top of Page)"/>
        <w:docPartUnique/>
      </w:docPartObj>
    </w:sdtPr>
    <w:sdtContent>
      <w:p w:rsidR="009D7D1F" w:rsidRDefault="009D7D1F">
        <w:pPr>
          <w:pStyle w:val="Header"/>
          <w:jc w:val="right"/>
        </w:pPr>
        <w:fldSimple w:instr=" PAGE   \* MERGEFORMAT ">
          <w:r w:rsidR="00511DB7">
            <w:rPr>
              <w:noProof/>
            </w:rPr>
            <w:t>1</w:t>
          </w:r>
        </w:fldSimple>
      </w:p>
    </w:sdtContent>
  </w:sdt>
  <w:p w:rsidR="009D7D1F" w:rsidRDefault="009D7D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A7FF3"/>
    <w:multiLevelType w:val="hybridMultilevel"/>
    <w:tmpl w:val="E3F85E42"/>
    <w:lvl w:ilvl="0" w:tplc="B4F4A128">
      <w:start w:val="1"/>
      <w:numFmt w:val="bullet"/>
      <w:lvlText w:val=""/>
      <w:lvlJc w:val="left"/>
      <w:pPr>
        <w:ind w:left="720" w:hanging="360"/>
      </w:pPr>
      <w:rPr>
        <w:rFonts w:ascii="Symbol" w:hAnsi="Symbol" w:hint="default"/>
      </w:rPr>
    </w:lvl>
    <w:lvl w:ilvl="1" w:tplc="15CA5BAE" w:tentative="1">
      <w:start w:val="1"/>
      <w:numFmt w:val="bullet"/>
      <w:lvlText w:val="o"/>
      <w:lvlJc w:val="left"/>
      <w:pPr>
        <w:ind w:left="1440" w:hanging="360"/>
      </w:pPr>
      <w:rPr>
        <w:rFonts w:ascii="Courier New" w:hAnsi="Courier New" w:cs="Courier New" w:hint="default"/>
      </w:rPr>
    </w:lvl>
    <w:lvl w:ilvl="2" w:tplc="7964942C" w:tentative="1">
      <w:start w:val="1"/>
      <w:numFmt w:val="bullet"/>
      <w:lvlText w:val=""/>
      <w:lvlJc w:val="left"/>
      <w:pPr>
        <w:ind w:left="2160" w:hanging="360"/>
      </w:pPr>
      <w:rPr>
        <w:rFonts w:ascii="Wingdings" w:hAnsi="Wingdings" w:hint="default"/>
      </w:rPr>
    </w:lvl>
    <w:lvl w:ilvl="3" w:tplc="092E93F8" w:tentative="1">
      <w:start w:val="1"/>
      <w:numFmt w:val="bullet"/>
      <w:lvlText w:val=""/>
      <w:lvlJc w:val="left"/>
      <w:pPr>
        <w:ind w:left="2880" w:hanging="360"/>
      </w:pPr>
      <w:rPr>
        <w:rFonts w:ascii="Symbol" w:hAnsi="Symbol" w:hint="default"/>
      </w:rPr>
    </w:lvl>
    <w:lvl w:ilvl="4" w:tplc="300E1634" w:tentative="1">
      <w:start w:val="1"/>
      <w:numFmt w:val="bullet"/>
      <w:lvlText w:val="o"/>
      <w:lvlJc w:val="left"/>
      <w:pPr>
        <w:ind w:left="3600" w:hanging="360"/>
      </w:pPr>
      <w:rPr>
        <w:rFonts w:ascii="Courier New" w:hAnsi="Courier New" w:cs="Courier New" w:hint="default"/>
      </w:rPr>
    </w:lvl>
    <w:lvl w:ilvl="5" w:tplc="0660FB96" w:tentative="1">
      <w:start w:val="1"/>
      <w:numFmt w:val="bullet"/>
      <w:lvlText w:val=""/>
      <w:lvlJc w:val="left"/>
      <w:pPr>
        <w:ind w:left="4320" w:hanging="360"/>
      </w:pPr>
      <w:rPr>
        <w:rFonts w:ascii="Wingdings" w:hAnsi="Wingdings" w:hint="default"/>
      </w:rPr>
    </w:lvl>
    <w:lvl w:ilvl="6" w:tplc="6E924078" w:tentative="1">
      <w:start w:val="1"/>
      <w:numFmt w:val="bullet"/>
      <w:lvlText w:val=""/>
      <w:lvlJc w:val="left"/>
      <w:pPr>
        <w:ind w:left="5040" w:hanging="360"/>
      </w:pPr>
      <w:rPr>
        <w:rFonts w:ascii="Symbol" w:hAnsi="Symbol" w:hint="default"/>
      </w:rPr>
    </w:lvl>
    <w:lvl w:ilvl="7" w:tplc="8D240A5C" w:tentative="1">
      <w:start w:val="1"/>
      <w:numFmt w:val="bullet"/>
      <w:lvlText w:val="o"/>
      <w:lvlJc w:val="left"/>
      <w:pPr>
        <w:ind w:left="5760" w:hanging="360"/>
      </w:pPr>
      <w:rPr>
        <w:rFonts w:ascii="Courier New" w:hAnsi="Courier New" w:cs="Courier New" w:hint="default"/>
      </w:rPr>
    </w:lvl>
    <w:lvl w:ilvl="8" w:tplc="A900E174" w:tentative="1">
      <w:start w:val="1"/>
      <w:numFmt w:val="bullet"/>
      <w:lvlText w:val=""/>
      <w:lvlJc w:val="left"/>
      <w:pPr>
        <w:ind w:left="6480" w:hanging="360"/>
      </w:pPr>
      <w:rPr>
        <w:rFonts w:ascii="Wingdings" w:hAnsi="Wingdings" w:hint="default"/>
      </w:rPr>
    </w:lvl>
  </w:abstractNum>
  <w:abstractNum w:abstractNumId="1">
    <w:nsid w:val="389D2B38"/>
    <w:multiLevelType w:val="multilevel"/>
    <w:tmpl w:val="7DE066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4B22EA0"/>
    <w:multiLevelType w:val="hybridMultilevel"/>
    <w:tmpl w:val="C28CF57E"/>
    <w:lvl w:ilvl="0" w:tplc="41081F0E">
      <w:start w:val="1"/>
      <w:numFmt w:val="decimal"/>
      <w:lvlText w:val="%1."/>
      <w:lvlJc w:val="left"/>
      <w:pPr>
        <w:ind w:left="720" w:hanging="360"/>
      </w:pPr>
    </w:lvl>
    <w:lvl w:ilvl="1" w:tplc="E5104650" w:tentative="1">
      <w:start w:val="1"/>
      <w:numFmt w:val="lowerLetter"/>
      <w:lvlText w:val="%2."/>
      <w:lvlJc w:val="left"/>
      <w:pPr>
        <w:ind w:left="1440" w:hanging="360"/>
      </w:pPr>
    </w:lvl>
    <w:lvl w:ilvl="2" w:tplc="EFAEA118" w:tentative="1">
      <w:start w:val="1"/>
      <w:numFmt w:val="lowerRoman"/>
      <w:lvlText w:val="%3."/>
      <w:lvlJc w:val="right"/>
      <w:pPr>
        <w:ind w:left="2160" w:hanging="180"/>
      </w:pPr>
    </w:lvl>
    <w:lvl w:ilvl="3" w:tplc="B5249D98" w:tentative="1">
      <w:start w:val="1"/>
      <w:numFmt w:val="decimal"/>
      <w:lvlText w:val="%4."/>
      <w:lvlJc w:val="left"/>
      <w:pPr>
        <w:ind w:left="2880" w:hanging="360"/>
      </w:pPr>
    </w:lvl>
    <w:lvl w:ilvl="4" w:tplc="7944C6B0" w:tentative="1">
      <w:start w:val="1"/>
      <w:numFmt w:val="lowerLetter"/>
      <w:lvlText w:val="%5."/>
      <w:lvlJc w:val="left"/>
      <w:pPr>
        <w:ind w:left="3600" w:hanging="360"/>
      </w:pPr>
    </w:lvl>
    <w:lvl w:ilvl="5" w:tplc="C8423DB0" w:tentative="1">
      <w:start w:val="1"/>
      <w:numFmt w:val="lowerRoman"/>
      <w:lvlText w:val="%6."/>
      <w:lvlJc w:val="right"/>
      <w:pPr>
        <w:ind w:left="4320" w:hanging="180"/>
      </w:pPr>
    </w:lvl>
    <w:lvl w:ilvl="6" w:tplc="E0DE6338" w:tentative="1">
      <w:start w:val="1"/>
      <w:numFmt w:val="decimal"/>
      <w:lvlText w:val="%7."/>
      <w:lvlJc w:val="left"/>
      <w:pPr>
        <w:ind w:left="5040" w:hanging="360"/>
      </w:pPr>
    </w:lvl>
    <w:lvl w:ilvl="7" w:tplc="C9B0EA8A" w:tentative="1">
      <w:start w:val="1"/>
      <w:numFmt w:val="lowerLetter"/>
      <w:lvlText w:val="%8."/>
      <w:lvlJc w:val="left"/>
      <w:pPr>
        <w:ind w:left="5760" w:hanging="360"/>
      </w:pPr>
    </w:lvl>
    <w:lvl w:ilvl="8" w:tplc="76C6FA2C" w:tentative="1">
      <w:start w:val="1"/>
      <w:numFmt w:val="lowerRoman"/>
      <w:lvlText w:val="%9."/>
      <w:lvlJc w:val="right"/>
      <w:pPr>
        <w:ind w:left="6480" w:hanging="180"/>
      </w:pPr>
    </w:lvl>
  </w:abstractNum>
  <w:abstractNum w:abstractNumId="3">
    <w:nsid w:val="5D4C06C6"/>
    <w:multiLevelType w:val="hybridMultilevel"/>
    <w:tmpl w:val="1C08CB18"/>
    <w:lvl w:ilvl="0" w:tplc="9D9A8D7C">
      <w:start w:val="1"/>
      <w:numFmt w:val="decimal"/>
      <w:lvlText w:val="%1."/>
      <w:lvlJc w:val="left"/>
      <w:pPr>
        <w:ind w:left="720" w:hanging="360"/>
      </w:pPr>
    </w:lvl>
    <w:lvl w:ilvl="1" w:tplc="56624F46" w:tentative="1">
      <w:start w:val="1"/>
      <w:numFmt w:val="lowerLetter"/>
      <w:lvlText w:val="%2."/>
      <w:lvlJc w:val="left"/>
      <w:pPr>
        <w:ind w:left="1440" w:hanging="360"/>
      </w:pPr>
    </w:lvl>
    <w:lvl w:ilvl="2" w:tplc="9AC4FF1E" w:tentative="1">
      <w:start w:val="1"/>
      <w:numFmt w:val="lowerRoman"/>
      <w:lvlText w:val="%3."/>
      <w:lvlJc w:val="right"/>
      <w:pPr>
        <w:ind w:left="2160" w:hanging="180"/>
      </w:pPr>
    </w:lvl>
    <w:lvl w:ilvl="3" w:tplc="CDFA66B8" w:tentative="1">
      <w:start w:val="1"/>
      <w:numFmt w:val="decimal"/>
      <w:lvlText w:val="%4."/>
      <w:lvlJc w:val="left"/>
      <w:pPr>
        <w:ind w:left="2880" w:hanging="360"/>
      </w:pPr>
    </w:lvl>
    <w:lvl w:ilvl="4" w:tplc="38C07AC8" w:tentative="1">
      <w:start w:val="1"/>
      <w:numFmt w:val="lowerLetter"/>
      <w:lvlText w:val="%5."/>
      <w:lvlJc w:val="left"/>
      <w:pPr>
        <w:ind w:left="3600" w:hanging="360"/>
      </w:pPr>
    </w:lvl>
    <w:lvl w:ilvl="5" w:tplc="D730E506" w:tentative="1">
      <w:start w:val="1"/>
      <w:numFmt w:val="lowerRoman"/>
      <w:lvlText w:val="%6."/>
      <w:lvlJc w:val="right"/>
      <w:pPr>
        <w:ind w:left="4320" w:hanging="180"/>
      </w:pPr>
    </w:lvl>
    <w:lvl w:ilvl="6" w:tplc="C6F64C90" w:tentative="1">
      <w:start w:val="1"/>
      <w:numFmt w:val="decimal"/>
      <w:lvlText w:val="%7."/>
      <w:lvlJc w:val="left"/>
      <w:pPr>
        <w:ind w:left="5040" w:hanging="360"/>
      </w:pPr>
    </w:lvl>
    <w:lvl w:ilvl="7" w:tplc="B6B61052" w:tentative="1">
      <w:start w:val="1"/>
      <w:numFmt w:val="lowerLetter"/>
      <w:lvlText w:val="%8."/>
      <w:lvlJc w:val="left"/>
      <w:pPr>
        <w:ind w:left="5760" w:hanging="360"/>
      </w:pPr>
    </w:lvl>
    <w:lvl w:ilvl="8" w:tplc="8D5A40E0" w:tentative="1">
      <w:start w:val="1"/>
      <w:numFmt w:val="lowerRoman"/>
      <w:lvlText w:val="%9."/>
      <w:lvlJc w:val="right"/>
      <w:pPr>
        <w:ind w:left="6480" w:hanging="180"/>
      </w:pPr>
    </w:lvl>
  </w:abstractNum>
  <w:abstractNum w:abstractNumId="4">
    <w:nsid w:val="69437457"/>
    <w:multiLevelType w:val="multilevel"/>
    <w:tmpl w:val="FD4E6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savePreviewPicture/>
  <w:footnotePr>
    <w:footnote w:id="0"/>
    <w:footnote w:id="1"/>
  </w:footnotePr>
  <w:endnotePr>
    <w:endnote w:id="0"/>
    <w:endnote w:id="1"/>
  </w:endnotePr>
  <w:compat/>
  <w:rsids>
    <w:rsidRoot w:val="00C12CFC"/>
    <w:rsid w:val="00004150"/>
    <w:rsid w:val="001432CC"/>
    <w:rsid w:val="001C085E"/>
    <w:rsid w:val="002044A7"/>
    <w:rsid w:val="00256E9F"/>
    <w:rsid w:val="003E0A41"/>
    <w:rsid w:val="0042382A"/>
    <w:rsid w:val="00511DB7"/>
    <w:rsid w:val="0063422B"/>
    <w:rsid w:val="00665E07"/>
    <w:rsid w:val="00683755"/>
    <w:rsid w:val="006E63A9"/>
    <w:rsid w:val="0074136F"/>
    <w:rsid w:val="00816920"/>
    <w:rsid w:val="00900607"/>
    <w:rsid w:val="009D3BC7"/>
    <w:rsid w:val="009D7D1F"/>
    <w:rsid w:val="009D7F5E"/>
    <w:rsid w:val="00A00775"/>
    <w:rsid w:val="00A57AFA"/>
    <w:rsid w:val="00B41F4E"/>
    <w:rsid w:val="00B65933"/>
    <w:rsid w:val="00BB07FE"/>
    <w:rsid w:val="00BD6C5E"/>
    <w:rsid w:val="00C12CFC"/>
    <w:rsid w:val="00C51EE4"/>
    <w:rsid w:val="00CB3A21"/>
    <w:rsid w:val="00DB4A69"/>
    <w:rsid w:val="00DC5F62"/>
    <w:rsid w:val="00E52379"/>
    <w:rsid w:val="00E5375B"/>
    <w:rsid w:val="00F60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75B"/>
    <w:pPr>
      <w:ind w:left="720"/>
      <w:contextualSpacing/>
    </w:pPr>
  </w:style>
  <w:style w:type="paragraph" w:styleId="Header">
    <w:name w:val="header"/>
    <w:basedOn w:val="Normal"/>
    <w:link w:val="HeaderChar"/>
    <w:uiPriority w:val="99"/>
    <w:unhideWhenUsed/>
    <w:rsid w:val="009D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D1F"/>
  </w:style>
  <w:style w:type="paragraph" w:styleId="Footer">
    <w:name w:val="footer"/>
    <w:basedOn w:val="Normal"/>
    <w:link w:val="FooterChar"/>
    <w:uiPriority w:val="99"/>
    <w:unhideWhenUsed/>
    <w:rsid w:val="009D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D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2021-05-12T17:23:00Z</dcterms:created>
  <dcterms:modified xsi:type="dcterms:W3CDTF">2021-05-12T17:23:00Z</dcterms:modified>
</cp:coreProperties>
</file>